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outline w:val="0"/>
          <w:color w:val="800000"/>
          <w:sz w:val="32"/>
          <w:szCs w:val="32"/>
          <w:u w:color="800000"/>
          <w14:textFill>
            <w14:solidFill>
              <w14:srgbClr w14:val="800000"/>
            </w14:solidFill>
          </w14:textFill>
        </w:rPr>
      </w:pPr>
      <w:r>
        <w:rPr>
          <w:b w:val="1"/>
          <w:bCs w:val="1"/>
          <w:outline w:val="0"/>
          <w:color w:val="800000"/>
          <w:sz w:val="32"/>
          <w:szCs w:val="32"/>
          <w:u w:color="800000"/>
          <w:rtl w:val="0"/>
          <w:lang w:val="da-DK"/>
          <w14:textFill>
            <w14:solidFill>
              <w14:srgbClr w14:val="800000"/>
            </w14:solidFill>
          </w14:textFill>
        </w:rPr>
        <w:t>Å</w:t>
      </w:r>
      <w:r>
        <w:rPr>
          <w:b w:val="1"/>
          <w:bCs w:val="1"/>
          <w:outline w:val="0"/>
          <w:color w:val="800000"/>
          <w:sz w:val="32"/>
          <w:szCs w:val="32"/>
          <w:u w:color="800000"/>
          <w:rtl w:val="0"/>
          <w14:textFill>
            <w14:solidFill>
              <w14:srgbClr w14:val="800000"/>
            </w14:solidFill>
          </w14:textFill>
        </w:rPr>
        <w:t>rsrapport for IEA-aktiviteter, 201</w:t>
      </w:r>
      <w:r>
        <w:rPr>
          <w:b w:val="1"/>
          <w:bCs w:val="1"/>
          <w:outline w:val="0"/>
          <w:color w:val="800000"/>
          <w:sz w:val="32"/>
          <w:szCs w:val="32"/>
          <w:u w:color="800000"/>
          <w:rtl w:val="0"/>
          <w14:textFill>
            <w14:solidFill>
              <w14:srgbClr w14:val="800000"/>
            </w14:solidFill>
          </w14:textFill>
        </w:rPr>
        <w:t>9</w:t>
      </w:r>
    </w:p>
    <w:p>
      <w:pPr>
        <w:pStyle w:val="Brødtekst"/>
        <w:rPr>
          <w:b w:val="1"/>
          <w:bCs w:val="1"/>
          <w:sz w:val="28"/>
          <w:szCs w:val="28"/>
        </w:rP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rsrapporten er utfylt av (navn)</w:t>
      </w:r>
      <w:r>
        <w:rPr>
          <w:rtl w:val="0"/>
        </w:rPr>
        <w:t>: Hans Terje Ylvis</w:t>
      </w:r>
      <w:r>
        <w:rPr>
          <w:rtl w:val="0"/>
          <w:lang w:val="da-DK"/>
        </w:rPr>
        <w:t>å</w:t>
      </w:r>
      <w:r>
        <w:rPr>
          <w:rtl w:val="0"/>
        </w:rPr>
        <w:t>ker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8"/>
          <w:szCs w:val="28"/>
        </w:rP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i w:val="1"/>
          <w:iCs w:val="1"/>
        </w:rPr>
      </w:pPr>
      <w:r>
        <w:rPr>
          <w:b w:val="1"/>
          <w:bCs w:val="1"/>
          <w:rtl w:val="0"/>
        </w:rPr>
        <w:t>Dato for utfylling</w:t>
      </w:r>
      <w:r>
        <w:rPr>
          <w:rtl w:val="0"/>
        </w:rPr>
        <w:t xml:space="preserve">: </w:t>
      </w:r>
      <w:r>
        <w:rPr>
          <w:rtl w:val="0"/>
        </w:rPr>
        <w:t>04.03.20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  <w:lang w:val="en-US"/>
        </w:rPr>
        <w:t>Tittel p</w:t>
      </w:r>
      <w:r>
        <w:rPr>
          <w:b w:val="1"/>
          <w:bCs w:val="1"/>
          <w:rtl w:val="0"/>
          <w:lang w:val="en-US"/>
        </w:rPr>
        <w:t xml:space="preserve">å </w:t>
      </w:r>
      <w:r>
        <w:rPr>
          <w:b w:val="1"/>
          <w:bCs w:val="1"/>
          <w:rtl w:val="0"/>
          <w:lang w:val="en-US"/>
        </w:rPr>
        <w:t>Technology Collaboration Program (TCP)</w:t>
      </w:r>
      <w:r>
        <w:rPr>
          <w:rtl w:val="0"/>
          <w:lang w:val="en-US"/>
        </w:rPr>
        <w:t>: ISGAN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mellomtittel"/>
        <w:keepNext w:val="0"/>
        <w:keepLines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/>
        <w:rPr>
          <w:b w:val="0"/>
          <w:bCs w:val="0"/>
        </w:rPr>
      </w:pPr>
      <w:r>
        <w:rPr>
          <w:rtl w:val="0"/>
          <w:lang w:val="en-US"/>
        </w:rPr>
        <w:t>Norsk representant i Executive Committee (Ex.Co.)</w:t>
      </w:r>
      <w:r>
        <w:rPr>
          <w:b w:val="0"/>
          <w:bCs w:val="0"/>
          <w:rtl w:val="0"/>
          <w:lang w:val="en-US"/>
        </w:rPr>
        <w:t>: Hans Terje Ylvis</w:t>
      </w:r>
      <w:r>
        <w:rPr>
          <w:b w:val="0"/>
          <w:bCs w:val="0"/>
          <w:rtl w:val="0"/>
          <w:lang w:val="en-US"/>
        </w:rPr>
        <w:t>å</w:t>
      </w:r>
      <w:r>
        <w:rPr>
          <w:b w:val="0"/>
          <w:bCs w:val="0"/>
          <w:rtl w:val="0"/>
          <w:lang w:val="en-US"/>
        </w:rPr>
        <w:t>ker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</w:rPr>
        <w:t>Norsk vara (alternate) i Ex.Co</w:t>
      </w:r>
      <w:r>
        <w:rPr>
          <w:rtl w:val="0"/>
        </w:rPr>
        <w:t>.: Grete Coldevin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b w:val="1"/>
          <w:bCs w:val="1"/>
          <w:rtl w:val="0"/>
        </w:rPr>
        <w:t>Er det noen fra Norge som er Operating Agent i TCP'et</w:t>
      </w:r>
      <w:r>
        <w:rPr>
          <w:rtl w:val="0"/>
          <w:lang w:val="de-DE"/>
        </w:rPr>
        <w:t>? Nei</w:t>
      </w:r>
    </w:p>
    <w:p>
      <w:pPr>
        <w:pStyle w:val="Brødteks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b w:val="1"/>
          <w:bCs w:val="1"/>
          <w:outline w:val="0"/>
          <w:color w:val="800000"/>
          <w:u w:val="single" w:color="800000"/>
          <w:rtl w:val="0"/>
          <w14:textFill>
            <w14:solidFill>
              <w14:srgbClr w14:val="800000"/>
            </w14:solidFill>
          </w14:textFill>
        </w:rPr>
        <w:t>OM NORSK DELTAGELSE I "DITT" IMPLEMENTING AGREMEENT: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  <w:br w:type="textWrapping"/>
      </w:r>
    </w:p>
    <w:p>
      <w:pPr>
        <w:pStyle w:val="Brødtekst"/>
        <w:numPr>
          <w:ilvl w:val="0"/>
          <w:numId w:val="2"/>
        </w:numPr>
      </w:pPr>
      <w:r>
        <w:rPr>
          <w:b w:val="1"/>
          <w:bCs w:val="1"/>
          <w:rtl w:val="0"/>
        </w:rPr>
        <w:t>Hvordan organiseres arbeidet i TCP'et og hvordan er finansieringen (cost sharing, task sharing eller annet)</w:t>
      </w:r>
      <w:r>
        <w:rPr>
          <w:rtl w:val="0"/>
        </w:rPr>
        <w:t>?</w:t>
      </w:r>
    </w:p>
    <w:p>
      <w:pPr>
        <w:pStyle w:val="Brødtekst"/>
      </w:pPr>
    </w:p>
    <w:p>
      <w:pPr>
        <w:pStyle w:val="Brødtekst"/>
        <w:ind w:left="709" w:firstLine="0"/>
      </w:pPr>
      <w:r>
        <w:rPr>
          <w:rtl w:val="0"/>
          <w:lang w:val="en-US"/>
        </w:rPr>
        <w:t>ISGAN Governance is composed of an Executive Committee (ExCo), that act as the decision-making body of the TCP, in which each contracting party to ISGAN appoints a delegate with an alternate. This committee meets twice a year and is presided by a chairman and three Vice-chairman. The Secretariat carries out day-to-day administrative functions to support the Presidium. ISGAN is primarily supported through task sharing among participants with a common fund that was created to allow cost sharing of certain specific activities</w:t>
      </w:r>
    </w:p>
    <w:p>
      <w:pPr>
        <w:pStyle w:val="Brødtekst"/>
        <w:ind w:left="720" w:firstLine="0"/>
      </w:pPr>
    </w:p>
    <w:p>
      <w:pPr>
        <w:pStyle w:val="Brødtekst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Undertegnede, norsk Ex.Co. repr. har deltatt i </w:t>
      </w: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</w:rPr>
        <w:t xml:space="preserve"> av 2 Ex.Co. 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ter i 201</w:t>
      </w:r>
      <w:r>
        <w:rPr>
          <w:b w:val="1"/>
          <w:bCs w:val="1"/>
          <w:rtl w:val="0"/>
        </w:rPr>
        <w:t>9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numPr>
          <w:ilvl w:val="0"/>
          <w:numId w:val="2"/>
        </w:numPr>
      </w:pPr>
      <w:r>
        <w:rPr>
          <w:b w:val="1"/>
          <w:bCs w:val="1"/>
          <w:rtl w:val="0"/>
        </w:rPr>
        <w:t>Er det laget norske referater som er sendt OED, Forskningsr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det, Enova og/eller andre</w:t>
      </w:r>
      <w:r>
        <w:rPr>
          <w:rtl w:val="0"/>
        </w:rPr>
        <w:t>?</w:t>
      </w:r>
    </w:p>
    <w:p>
      <w:pPr>
        <w:pStyle w:val="List Paragraph"/>
      </w:pPr>
    </w:p>
    <w:p>
      <w:pPr>
        <w:pStyle w:val="Brødtekst"/>
        <w:ind w:left="709" w:firstLine="0"/>
      </w:pPr>
      <w:r>
        <w:rPr>
          <w:rtl w:val="0"/>
        </w:rPr>
        <w:t>Ja, kfr. vedlegg</w:t>
      </w:r>
    </w:p>
    <w:p>
      <w:pPr>
        <w:pStyle w:val="Brødtekst"/>
      </w:pPr>
    </w:p>
    <w:p>
      <w:pPr>
        <w:pStyle w:val="Brødtekst"/>
        <w:numPr>
          <w:ilvl w:val="0"/>
          <w:numId w:val="2"/>
        </w:numPr>
      </w:pPr>
      <w:r>
        <w:rPr>
          <w:b w:val="1"/>
          <w:bCs w:val="1"/>
          <w:rtl w:val="0"/>
        </w:rPr>
        <w:t>Norsk deltagelse i prosjekter (navn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en-US"/>
        </w:rPr>
        <w:t>tasks/annexes/working groups etc.) inkl. navn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deltakende institusjoner, ansvarlige personer og rolle</w:t>
      </w:r>
      <w:r>
        <w:rPr>
          <w:rtl w:val="0"/>
        </w:rPr>
        <w:t>:</w:t>
      </w:r>
    </w:p>
    <w:p>
      <w:pPr>
        <w:pStyle w:val="Brødtekst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u w:val="single"/>
          <w:rtl w:val="0"/>
          <w:lang w:val="en-US"/>
        </w:rPr>
        <w:t>Annex 2</w:t>
      </w:r>
      <w:r>
        <w:rPr>
          <w:rtl w:val="0"/>
        </w:rPr>
        <w:t>: Smart Grid Case Studies: (Passivt); P.t. ingen norske. Tidligere deltaker: Ove Grande, (Ecogrid) SINTEF Energy.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3</w:t>
      </w:r>
      <w:r>
        <w:rPr>
          <w:rtl w:val="0"/>
          <w:lang w:val="en-US"/>
        </w:rPr>
        <w:t>: Benefit-cost analysis and toolkits: (Passivt) Ingen norske.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4</w:t>
      </w:r>
      <w:r>
        <w:rPr>
          <w:rtl w:val="0"/>
          <w:lang w:val="en-US"/>
        </w:rPr>
        <w:t>: Synthesis of insights for decision makers: (Passivt) Ingen norske.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5</w:t>
      </w:r>
      <w:r>
        <w:rPr>
          <w:rtl w:val="0"/>
          <w:lang w:val="en-US"/>
        </w:rPr>
        <w:t xml:space="preserve">: Smart grid research infrastructure </w:t>
      </w:r>
      <w:r>
        <w:rPr>
          <w:rtl w:val="0"/>
        </w:rPr>
        <w:t xml:space="preserve">– </w:t>
      </w:r>
      <w:r>
        <w:rPr>
          <w:rtl w:val="0"/>
        </w:rPr>
        <w:t xml:space="preserve">(SIRFN): (Passivt) </w:t>
      </w:r>
      <w:r>
        <w:rPr>
          <w:rtl w:val="0"/>
        </w:rPr>
        <w:t>Ingen norske.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6</w:t>
      </w:r>
      <w:r>
        <w:rPr>
          <w:rtl w:val="0"/>
        </w:rPr>
        <w:t>: Power T&amp;D Systems: Kjetil Uhlen og Irina Oleinikova, NTNU, rolle: POC/ nasjonal ekspert.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7</w:t>
      </w:r>
      <w:r>
        <w:rPr>
          <w:rtl w:val="0"/>
        </w:rPr>
        <w:t>: Smart grid transitions: (Passivt) Ingen norske.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u w:val="single"/>
          <w:rtl w:val="0"/>
          <w:lang w:val="fr-FR"/>
        </w:rPr>
        <w:t>Annex 8</w:t>
      </w:r>
      <w:r>
        <w:rPr>
          <w:rtl w:val="0"/>
        </w:rPr>
        <w:t>: ISGAN Academy on smart grids: (Passivt) Ingen norske.</w:t>
      </w:r>
    </w:p>
    <w:p>
      <w:pPr>
        <w:pStyle w:val="Brødtekst"/>
      </w:pPr>
    </w:p>
    <w:p>
      <w:pPr>
        <w:pStyle w:val="Brødtekst"/>
        <w:numPr>
          <w:ilvl w:val="0"/>
          <w:numId w:val="5"/>
        </w:numPr>
      </w:pPr>
      <w:r>
        <w:rPr>
          <w:b w:val="1"/>
          <w:bCs w:val="1"/>
          <w:rtl w:val="0"/>
        </w:rPr>
        <w:t>Trekk frem eventuelle viktige resultater i programmet</w:t>
      </w:r>
      <w:r>
        <w:rPr>
          <w:rtl w:val="0"/>
        </w:rPr>
        <w:t xml:space="preserve">: </w:t>
      </w:r>
    </w:p>
    <w:p>
      <w:pPr>
        <w:pStyle w:val="Brødtekst"/>
      </w:pP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 xml:space="preserve">Avventer offisiell </w:t>
      </w:r>
      <w:r>
        <w:rPr>
          <w:rtl w:val="0"/>
        </w:rPr>
        <w:t>å</w:t>
      </w:r>
      <w:r>
        <w:rPr>
          <w:rtl w:val="0"/>
        </w:rPr>
        <w:t>rsrapport for 2019 som ikke foreligger enn</w:t>
      </w:r>
      <w:r>
        <w:rPr>
          <w:rtl w:val="0"/>
        </w:rPr>
        <w:t>å</w:t>
      </w:r>
      <w:r>
        <w:rPr>
          <w:rtl w:val="0"/>
        </w:rPr>
        <w:t>.</w:t>
      </w:r>
    </w:p>
    <w:p>
      <w:pPr>
        <w:pStyle w:val="List Paragraph"/>
        <w:ind w:left="0" w:firstLine="0"/>
      </w:pPr>
    </w:p>
    <w:p>
      <w:pPr>
        <w:pStyle w:val="Brødtekst"/>
        <w:numPr>
          <w:ilvl w:val="0"/>
          <w:numId w:val="7"/>
        </w:numPr>
      </w:pPr>
      <w:r>
        <w:rPr>
          <w:b w:val="1"/>
          <w:bCs w:val="1"/>
          <w:rtl w:val="0"/>
        </w:rPr>
        <w:t>Hvor lenge er det igjen av den godkjente perioden for dette TCP</w:t>
      </w:r>
      <w:r>
        <w:rPr>
          <w:rtl w:val="0"/>
        </w:rPr>
        <w:t>?</w:t>
      </w:r>
    </w:p>
    <w:p>
      <w:pPr>
        <w:pStyle w:val="Brødtekst"/>
      </w:pPr>
    </w:p>
    <w:p>
      <w:pPr>
        <w:pStyle w:val="Brødtekst"/>
        <w:ind w:left="709" w:firstLine="0"/>
      </w:pPr>
      <w:r>
        <w:rPr>
          <w:rtl w:val="0"/>
        </w:rPr>
        <w:t>Denne perioden g</w:t>
      </w:r>
      <w:r>
        <w:rPr>
          <w:rtl w:val="0"/>
          <w:lang w:val="da-DK"/>
        </w:rPr>
        <w:t>å</w:t>
      </w:r>
      <w:r>
        <w:rPr>
          <w:rtl w:val="0"/>
        </w:rPr>
        <w:t>r ut 28. februar 2022</w:t>
      </w:r>
    </w:p>
    <w:p>
      <w:pPr>
        <w:pStyle w:val="Brødtekst"/>
      </w:pPr>
    </w:p>
    <w:p>
      <w:pPr>
        <w:pStyle w:val="Brødtekst"/>
        <w:numPr>
          <w:ilvl w:val="0"/>
          <w:numId w:val="2"/>
        </w:numPr>
      </w:pPr>
      <w:r>
        <w:rPr>
          <w:b w:val="1"/>
          <w:bCs w:val="1"/>
          <w:rtl w:val="0"/>
        </w:rPr>
        <w:t>Hvordan vurderer du/dere dette programmets fremtid og hvor viktig er det at Norge fortsatt er med. Planlegges det nye prosjekter/tasks som Norge b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r v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re med i</w:t>
      </w:r>
      <w:r>
        <w:rPr>
          <w:rtl w:val="0"/>
        </w:rPr>
        <w:t xml:space="preserve">? </w:t>
      </w:r>
    </w:p>
    <w:p>
      <w:pPr>
        <w:pStyle w:val="Brødtekst"/>
        <w:ind w:left="709" w:firstLine="0"/>
      </w:pPr>
    </w:p>
    <w:p>
      <w:pPr>
        <w:pStyle w:val="Brødtekst"/>
        <w:ind w:left="709" w:firstLine="0"/>
      </w:pPr>
      <w:r>
        <w:rPr>
          <w:rtl w:val="0"/>
        </w:rPr>
        <w:t>Programmet er effektivt drevet med Austrian Institute of Technology som sekretariat og Operating Agent. Det er betydelig aktivitet innenfor de fleste omr</w:t>
      </w:r>
      <w:r>
        <w:rPr>
          <w:rtl w:val="0"/>
          <w:lang w:val="da-DK"/>
        </w:rPr>
        <w:t>å</w:t>
      </w:r>
      <w:r>
        <w:rPr>
          <w:rtl w:val="0"/>
        </w:rPr>
        <w:t xml:space="preserve">dene (annex), men den norske deltagelsen er beskjeden. Det er tatt initiativ for </w:t>
      </w:r>
      <w:r>
        <w:rPr>
          <w:rtl w:val="0"/>
        </w:rPr>
        <w:t xml:space="preserve">å </w:t>
      </w:r>
      <w:r>
        <w:rPr>
          <w:rtl w:val="0"/>
        </w:rPr>
        <w:t>se om det er rom for bredere norsk innsats i programmet.</w:t>
      </w:r>
    </w:p>
    <w:p>
      <w:pPr>
        <w:pStyle w:val="Brødtekst"/>
        <w:ind w:left="709" w:firstLine="0"/>
        <w:rPr>
          <w:i w:val="1"/>
          <w:i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b w:val="1"/>
          <w:bCs w:val="1"/>
          <w:outline w:val="0"/>
          <w:color w:val="800000"/>
          <w:u w:val="single" w:color="800000"/>
          <w:rtl w:val="0"/>
          <w:lang w:val="de-DE"/>
          <w14:textFill>
            <w14:solidFill>
              <w14:srgbClr w14:val="800000"/>
            </w14:solidFill>
          </w14:textFill>
        </w:rPr>
        <w:t>ANNET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numPr>
          <w:ilvl w:val="0"/>
          <w:numId w:val="2"/>
        </w:numPr>
      </w:pPr>
      <w:r>
        <w:rPr>
          <w:b w:val="1"/>
          <w:bCs w:val="1"/>
          <w:rtl w:val="0"/>
        </w:rPr>
        <w:t>Andre opplysninger</w:t>
      </w:r>
      <w:r>
        <w:rPr>
          <w:rtl w:val="0"/>
        </w:rPr>
        <w:t>:</w:t>
      </w:r>
    </w:p>
    <w:p>
      <w:pPr>
        <w:pStyle w:val="List Paragraph"/>
      </w:pPr>
    </w:p>
    <w:p>
      <w:pPr>
        <w:pStyle w:val="Brødtekst"/>
        <w:ind w:left="709" w:firstLine="0"/>
        <w:rPr>
          <w:i w:val="1"/>
          <w:iCs w:val="1"/>
        </w:rPr>
      </w:pPr>
    </w:p>
    <w:p>
      <w:pPr>
        <w:pStyle w:val="Brødteks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2"/>
  </w:abstractNum>
  <w:abstractNum w:abstractNumId="3">
    <w:multiLevelType w:val="hybridMultilevel"/>
    <w:styleLink w:val="Importert stil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mellomtittel">
    <w:name w:val="mellomtittel"/>
    <w:next w:val="Brødteks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rt stil 1">
    <w:name w:val="Importert sti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rt stil 2">
    <w:name w:val="Importert sti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